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B0A" w14:textId="6D505EBD" w:rsidR="009E7460" w:rsidRDefault="00FA7FEC" w:rsidP="00172FA7">
      <w:pPr>
        <w:spacing w:after="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00E116A4">
        <w:rPr>
          <w:rFonts w:ascii="Arial" w:hAnsi="Arial" w:cs="Arial"/>
          <w:b/>
          <w:sz w:val="28"/>
          <w:szCs w:val="28"/>
        </w:rPr>
        <w:t>Board – report from Cllr Martin Tett</w:t>
      </w:r>
      <w:r w:rsidRPr="00192063">
        <w:rPr>
          <w:rFonts w:ascii="Arial" w:hAnsi="Arial" w:cs="Arial"/>
          <w:b/>
          <w:sz w:val="28"/>
          <w:szCs w:val="28"/>
        </w:rPr>
        <w:t xml:space="preserve"> (Chair</w:t>
      </w:r>
      <w:r w:rsidR="00E116A4">
        <w:rPr>
          <w:rFonts w:ascii="Arial" w:hAnsi="Arial" w:cs="Arial"/>
          <w:b/>
          <w:sz w:val="28"/>
          <w:szCs w:val="28"/>
        </w:rPr>
        <w:t>man</w:t>
      </w:r>
      <w:r w:rsidRPr="00192063">
        <w:rPr>
          <w:rFonts w:ascii="Arial" w:hAnsi="Arial" w:cs="Arial"/>
          <w:b/>
          <w:sz w:val="28"/>
          <w:szCs w:val="28"/>
        </w:rPr>
        <w:t xml:space="preserve">) </w:t>
      </w:r>
    </w:p>
    <w:p w14:paraId="3F4F5E57" w14:textId="77777777" w:rsidR="007D7459" w:rsidRPr="007D7459" w:rsidRDefault="007D7459" w:rsidP="00172FA7">
      <w:pPr>
        <w:spacing w:after="0" w:line="240" w:lineRule="auto"/>
        <w:contextualSpacing/>
        <w:rPr>
          <w:rFonts w:ascii="Arial" w:hAnsi="Arial" w:cs="Arial"/>
          <w:b/>
          <w:sz w:val="28"/>
          <w:szCs w:val="28"/>
        </w:rPr>
      </w:pPr>
    </w:p>
    <w:p w14:paraId="71465EA8" w14:textId="4DBC9C20" w:rsidR="00FD74DE" w:rsidRDefault="006D312B" w:rsidP="00172FA7">
      <w:pPr>
        <w:spacing w:after="0" w:line="240" w:lineRule="auto"/>
        <w:rPr>
          <w:rFonts w:ascii="Arial" w:hAnsi="Arial" w:cs="Arial"/>
          <w:b/>
        </w:rPr>
      </w:pPr>
      <w:r>
        <w:rPr>
          <w:rFonts w:ascii="Arial" w:hAnsi="Arial" w:cs="Arial"/>
          <w:b/>
        </w:rPr>
        <w:t>Ministerial Meeting</w:t>
      </w:r>
    </w:p>
    <w:p w14:paraId="33AA5449" w14:textId="77777777" w:rsidR="00FD74DE" w:rsidRDefault="00FD74DE" w:rsidP="00172FA7">
      <w:pPr>
        <w:spacing w:after="0" w:line="240" w:lineRule="auto"/>
        <w:rPr>
          <w:rFonts w:ascii="Arial" w:hAnsi="Arial" w:cs="Arial"/>
          <w:b/>
        </w:rPr>
      </w:pPr>
    </w:p>
    <w:p w14:paraId="3E54C183" w14:textId="2AF64489" w:rsidR="008C357D" w:rsidRPr="008C357D" w:rsidRDefault="008C357D" w:rsidP="008C357D">
      <w:pPr>
        <w:pStyle w:val="ListParagraph"/>
        <w:numPr>
          <w:ilvl w:val="0"/>
          <w:numId w:val="32"/>
        </w:numPr>
        <w:rPr>
          <w:rFonts w:ascii="Arial" w:hAnsi="Arial" w:cs="Arial"/>
          <w:iCs/>
        </w:rPr>
      </w:pPr>
      <w:r w:rsidRPr="008C357D">
        <w:rPr>
          <w:rFonts w:ascii="Arial" w:hAnsi="Arial" w:cs="Arial"/>
          <w:iCs/>
        </w:rPr>
        <w:t>On Tuesday 21</w:t>
      </w:r>
      <w:r w:rsidRPr="008C357D">
        <w:rPr>
          <w:rFonts w:ascii="Arial" w:hAnsi="Arial" w:cs="Arial"/>
          <w:iCs/>
          <w:vertAlign w:val="superscript"/>
        </w:rPr>
        <w:t xml:space="preserve"> </w:t>
      </w:r>
      <w:r w:rsidRPr="008C357D">
        <w:rPr>
          <w:rFonts w:ascii="Arial" w:hAnsi="Arial" w:cs="Arial"/>
          <w:iCs/>
        </w:rPr>
        <w:t>February I met with the Rt Hon Therese Coffey MP, Parliamentary Under Secretary of State for the Environment and Rural Life Opportunities following our previous meeting in November.  The meeting was focussed on discussion of urban recycling rates and how they can be improved. Many thanks to all the Board members who provided me with feedback in preparation for the meeting.</w:t>
      </w:r>
    </w:p>
    <w:p w14:paraId="73C7413C" w14:textId="77777777" w:rsidR="003750BC" w:rsidRPr="003750BC" w:rsidRDefault="003750BC" w:rsidP="003750BC">
      <w:pPr>
        <w:rPr>
          <w:rFonts w:ascii="Arial" w:hAnsi="Arial" w:cs="Arial"/>
          <w:b/>
        </w:rPr>
      </w:pPr>
      <w:r w:rsidRPr="003750BC">
        <w:rPr>
          <w:rFonts w:ascii="Arial" w:hAnsi="Arial" w:cs="Arial"/>
          <w:b/>
        </w:rPr>
        <w:t>The Road ahead for Buses</w:t>
      </w:r>
    </w:p>
    <w:p w14:paraId="354476BC" w14:textId="14545F84" w:rsidR="003750BC" w:rsidRPr="00E10119" w:rsidRDefault="003750BC" w:rsidP="00E10119">
      <w:pPr>
        <w:pStyle w:val="ListParagraph"/>
        <w:numPr>
          <w:ilvl w:val="0"/>
          <w:numId w:val="32"/>
        </w:numPr>
        <w:rPr>
          <w:rFonts w:ascii="Arial" w:hAnsi="Arial" w:cs="Arial"/>
        </w:rPr>
      </w:pPr>
      <w:r w:rsidRPr="00E10119">
        <w:rPr>
          <w:rFonts w:ascii="Arial" w:hAnsi="Arial" w:cs="Arial"/>
        </w:rPr>
        <w:t>This week the LGA hosted</w:t>
      </w:r>
      <w:r w:rsidR="00E87BAF">
        <w:rPr>
          <w:rFonts w:ascii="Arial" w:hAnsi="Arial" w:cs="Arial"/>
        </w:rPr>
        <w:t xml:space="preserve"> and I chaired</w:t>
      </w:r>
      <w:r w:rsidRPr="00E10119">
        <w:rPr>
          <w:rFonts w:ascii="Arial" w:hAnsi="Arial" w:cs="Arial"/>
        </w:rPr>
        <w:t xml:space="preserve"> ‘the road ahead for buses’. A conference examining the future for the bus industry and local government</w:t>
      </w:r>
      <w:r w:rsidR="007623C6">
        <w:rPr>
          <w:rFonts w:ascii="Arial" w:hAnsi="Arial" w:cs="Arial"/>
        </w:rPr>
        <w:t>’</w:t>
      </w:r>
      <w:r w:rsidRPr="00E10119">
        <w:rPr>
          <w:rFonts w:ascii="Arial" w:hAnsi="Arial" w:cs="Arial"/>
        </w:rPr>
        <w:t xml:space="preserve">s role in supporting bus services. We heard from the DfT on the latest developments with the Bus Services Bill which will give councils new powers as well as forcing bus operators to open up more data. There was also discussion of how buses will fit in with new developments in transport technology like connected and autonomous vehicles. </w:t>
      </w:r>
      <w:r w:rsidR="007623C6">
        <w:rPr>
          <w:rFonts w:ascii="Arial" w:hAnsi="Arial" w:cs="Arial"/>
        </w:rPr>
        <w:t>A</w:t>
      </w:r>
      <w:r w:rsidRPr="00E10119">
        <w:rPr>
          <w:rFonts w:ascii="Arial" w:hAnsi="Arial" w:cs="Arial"/>
        </w:rPr>
        <w:t>uthorities from around the country shar</w:t>
      </w:r>
      <w:r w:rsidR="007623C6">
        <w:rPr>
          <w:rFonts w:ascii="Arial" w:hAnsi="Arial" w:cs="Arial"/>
        </w:rPr>
        <w:t>ed</w:t>
      </w:r>
      <w:r w:rsidRPr="00E10119">
        <w:rPr>
          <w:rFonts w:ascii="Arial" w:hAnsi="Arial" w:cs="Arial"/>
        </w:rPr>
        <w:t xml:space="preserve"> what they have been doing to drive growth in bus passenger numbers. Details of the presentations can be found on the LGA events pages.</w:t>
      </w:r>
    </w:p>
    <w:p w14:paraId="74776A05" w14:textId="77777777" w:rsidR="003750BC" w:rsidRPr="003750BC" w:rsidRDefault="003750BC" w:rsidP="003750BC">
      <w:pPr>
        <w:rPr>
          <w:rFonts w:ascii="Arial" w:hAnsi="Arial" w:cs="Arial"/>
          <w:b/>
        </w:rPr>
      </w:pPr>
      <w:r w:rsidRPr="003750BC">
        <w:rPr>
          <w:rFonts w:ascii="Arial" w:hAnsi="Arial" w:cs="Arial"/>
          <w:b/>
        </w:rPr>
        <w:t>National Infrastructure Commission</w:t>
      </w:r>
    </w:p>
    <w:p w14:paraId="263DDD6E" w14:textId="63E34C88" w:rsidR="003750BC" w:rsidRDefault="003750BC" w:rsidP="00E10119">
      <w:pPr>
        <w:pStyle w:val="ListParagraph"/>
        <w:numPr>
          <w:ilvl w:val="0"/>
          <w:numId w:val="32"/>
        </w:numPr>
        <w:rPr>
          <w:rFonts w:ascii="Arial" w:hAnsi="Arial" w:cs="Arial"/>
        </w:rPr>
      </w:pPr>
      <w:r w:rsidRPr="00E10119">
        <w:rPr>
          <w:rFonts w:ascii="Arial" w:hAnsi="Arial" w:cs="Arial"/>
        </w:rPr>
        <w:t>The LGA has been engaging with the National Infrastructure commission and their work on producing the National Infrastructure Assessment. The National Infrastructure assessment will be produced for parliament and will outline the long term infrastructure needs of the country.</w:t>
      </w:r>
    </w:p>
    <w:p w14:paraId="3E948C9E" w14:textId="77777777" w:rsidR="00E10119" w:rsidRPr="00E10119" w:rsidRDefault="00E10119" w:rsidP="00E10119">
      <w:pPr>
        <w:pStyle w:val="ListParagraph"/>
        <w:rPr>
          <w:rFonts w:ascii="Arial" w:hAnsi="Arial" w:cs="Arial"/>
        </w:rPr>
      </w:pPr>
    </w:p>
    <w:p w14:paraId="6380A36A" w14:textId="7436B3DA" w:rsidR="003750BC" w:rsidRPr="00E10119" w:rsidRDefault="003750BC" w:rsidP="00E10119">
      <w:pPr>
        <w:pStyle w:val="ListParagraph"/>
        <w:numPr>
          <w:ilvl w:val="0"/>
          <w:numId w:val="32"/>
        </w:numPr>
        <w:rPr>
          <w:rFonts w:ascii="Arial" w:hAnsi="Arial" w:cs="Arial"/>
        </w:rPr>
      </w:pPr>
      <w:r w:rsidRPr="00E10119">
        <w:rPr>
          <w:rFonts w:ascii="Arial" w:hAnsi="Arial" w:cs="Arial"/>
        </w:rPr>
        <w:t>We have recently responded to a call for evidence providing Local Government’s perspective on a wide variety of infrastructure sectors. We have urged the Commission to consider how greater devolution of funding and greater power for councils can reduce the need for large capital intensive schemes and ensure that the country’s infrastructure is well maintained and used as efficiently as possible.</w:t>
      </w:r>
    </w:p>
    <w:p w14:paraId="2BA7E6B6" w14:textId="77777777" w:rsidR="00E10119" w:rsidRPr="00E10119" w:rsidRDefault="00E10119" w:rsidP="00E10119">
      <w:pPr>
        <w:rPr>
          <w:rFonts w:ascii="Arial" w:hAnsi="Arial" w:cs="Arial"/>
          <w:b/>
        </w:rPr>
      </w:pPr>
      <w:r w:rsidRPr="00E10119">
        <w:rPr>
          <w:rFonts w:ascii="Arial" w:hAnsi="Arial" w:cs="Arial"/>
          <w:b/>
        </w:rPr>
        <w:t>Highways England</w:t>
      </w:r>
    </w:p>
    <w:p w14:paraId="3EFB4FFA" w14:textId="563DF196" w:rsidR="00E10119" w:rsidRDefault="00E10119" w:rsidP="00E10119">
      <w:pPr>
        <w:pStyle w:val="ListParagraph"/>
        <w:numPr>
          <w:ilvl w:val="0"/>
          <w:numId w:val="32"/>
        </w:numPr>
        <w:rPr>
          <w:rFonts w:ascii="Arial" w:hAnsi="Arial" w:cs="Arial"/>
        </w:rPr>
      </w:pPr>
      <w:r w:rsidRPr="00E10119">
        <w:rPr>
          <w:rFonts w:ascii="Arial" w:hAnsi="Arial" w:cs="Arial"/>
        </w:rPr>
        <w:t>The LGA has contributed to Highways England’s discussion paper The Road to Growth. It is part of their commitment to publish a strategic economic growth plan for maximising the economic contribution of the Strategic Road Network. It highlighted the key roles the network plays in economic growth.</w:t>
      </w:r>
    </w:p>
    <w:p w14:paraId="539EF005" w14:textId="77777777" w:rsidR="00E10119" w:rsidRPr="00E10119" w:rsidRDefault="00E10119" w:rsidP="00E10119">
      <w:pPr>
        <w:pStyle w:val="ListParagraph"/>
        <w:rPr>
          <w:rFonts w:ascii="Arial" w:hAnsi="Arial" w:cs="Arial"/>
        </w:rPr>
      </w:pPr>
    </w:p>
    <w:p w14:paraId="5EC0E0CB" w14:textId="03E0FEBC" w:rsidR="00E10119" w:rsidRPr="00E10119" w:rsidRDefault="00E10119" w:rsidP="00E10119">
      <w:pPr>
        <w:pStyle w:val="ListParagraph"/>
        <w:numPr>
          <w:ilvl w:val="0"/>
          <w:numId w:val="32"/>
        </w:numPr>
        <w:rPr>
          <w:rFonts w:ascii="Arial" w:hAnsi="Arial" w:cs="Arial"/>
        </w:rPr>
      </w:pPr>
      <w:r w:rsidRPr="00E10119">
        <w:rPr>
          <w:rFonts w:ascii="Arial" w:hAnsi="Arial" w:cs="Arial"/>
        </w:rPr>
        <w:t>We welcomed the document and made clear that for this approach to be a success it needs to be embedded throughout Highways England. They also need to recognise their role in ensuring the entire transport network is functioning efficiently. Only by all areas of the transport network functioning efficiently together can we ensure that the SRN unlocks the maximum benefit.</w:t>
      </w:r>
    </w:p>
    <w:p w14:paraId="4B23D90B" w14:textId="77777777" w:rsidR="00930DF3" w:rsidRDefault="00930DF3" w:rsidP="003750BC">
      <w:pPr>
        <w:rPr>
          <w:rFonts w:ascii="Arial" w:hAnsi="Arial" w:cs="Arial"/>
        </w:rPr>
      </w:pPr>
      <w:r w:rsidRPr="00A957A2">
        <w:rPr>
          <w:rFonts w:ascii="Arial" w:hAnsi="Arial" w:cs="Arial"/>
          <w:b/>
        </w:rPr>
        <w:lastRenderedPageBreak/>
        <w:t>Unlocking Growth in Partnership</w:t>
      </w:r>
      <w:r>
        <w:rPr>
          <w:rFonts w:ascii="Arial" w:hAnsi="Arial" w:cs="Arial"/>
        </w:rPr>
        <w:t xml:space="preserve"> </w:t>
      </w:r>
    </w:p>
    <w:p w14:paraId="21450EB1" w14:textId="6B2B2A97" w:rsidR="00E10119" w:rsidRDefault="00E87BAF" w:rsidP="00930DF3">
      <w:pPr>
        <w:pStyle w:val="ListParagraph"/>
        <w:numPr>
          <w:ilvl w:val="0"/>
          <w:numId w:val="32"/>
        </w:numPr>
        <w:rPr>
          <w:rFonts w:ascii="Arial" w:hAnsi="Arial" w:cs="Arial"/>
        </w:rPr>
      </w:pPr>
      <w:r>
        <w:rPr>
          <w:rFonts w:ascii="Arial" w:hAnsi="Arial" w:cs="Arial"/>
        </w:rPr>
        <w:t>Melanie Leech, Chief Executive of the</w:t>
      </w:r>
      <w:r w:rsidR="00930DF3" w:rsidRPr="00930DF3">
        <w:rPr>
          <w:rFonts w:ascii="Arial" w:hAnsi="Arial" w:cs="Arial"/>
        </w:rPr>
        <w:t xml:space="preserve"> British Property Federation</w:t>
      </w:r>
      <w:r>
        <w:rPr>
          <w:rFonts w:ascii="Arial" w:hAnsi="Arial" w:cs="Arial"/>
        </w:rPr>
        <w:t>,</w:t>
      </w:r>
      <w:r w:rsidR="00930DF3" w:rsidRPr="00930DF3">
        <w:rPr>
          <w:rFonts w:ascii="Arial" w:hAnsi="Arial" w:cs="Arial"/>
        </w:rPr>
        <w:t xml:space="preserve"> and </w:t>
      </w:r>
      <w:r>
        <w:rPr>
          <w:rFonts w:ascii="Arial" w:hAnsi="Arial" w:cs="Arial"/>
        </w:rPr>
        <w:t xml:space="preserve">I jointly </w:t>
      </w:r>
      <w:r w:rsidR="00930DF3" w:rsidRPr="00930DF3">
        <w:rPr>
          <w:rFonts w:ascii="Arial" w:hAnsi="Arial" w:cs="Arial"/>
        </w:rPr>
        <w:t xml:space="preserve">launched </w:t>
      </w:r>
      <w:hyperlink r:id="rId11" w:history="1">
        <w:r w:rsidR="00930DF3" w:rsidRPr="00930DF3">
          <w:rPr>
            <w:rStyle w:val="Hyperlink"/>
            <w:rFonts w:ascii="Arial" w:hAnsi="Arial" w:cs="Arial"/>
          </w:rPr>
          <w:t>a good practice guide</w:t>
        </w:r>
      </w:hyperlink>
      <w:r w:rsidR="00930DF3" w:rsidRPr="00930DF3">
        <w:rPr>
          <w:rFonts w:ascii="Arial" w:hAnsi="Arial" w:cs="Arial"/>
        </w:rPr>
        <w:t xml:space="preserve"> on unlocking commercial g</w:t>
      </w:r>
      <w:r w:rsidR="00930DF3">
        <w:rPr>
          <w:rFonts w:ascii="Arial" w:hAnsi="Arial" w:cs="Arial"/>
        </w:rPr>
        <w:t>rowth through long-term public/</w:t>
      </w:r>
      <w:r w:rsidR="00930DF3" w:rsidRPr="00930DF3">
        <w:rPr>
          <w:rFonts w:ascii="Arial" w:hAnsi="Arial" w:cs="Arial"/>
        </w:rPr>
        <w:t>private collaboration. The report highlights best practice of councils and developers and identifies key asks of central government to help attract investment</w:t>
      </w:r>
      <w:r w:rsidR="007623C6">
        <w:rPr>
          <w:rFonts w:ascii="Arial" w:hAnsi="Arial" w:cs="Arial"/>
        </w:rPr>
        <w:t xml:space="preserve"> into</w:t>
      </w:r>
      <w:r w:rsidR="00930DF3" w:rsidRPr="00930DF3">
        <w:rPr>
          <w:rFonts w:ascii="Arial" w:hAnsi="Arial" w:cs="Arial"/>
        </w:rPr>
        <w:t xml:space="preserve"> local areas and achieve better growth.</w:t>
      </w:r>
    </w:p>
    <w:p w14:paraId="3CBDB3C9" w14:textId="6908CA73" w:rsidR="00E87BAF" w:rsidRPr="00E87BAF" w:rsidRDefault="00E87BAF" w:rsidP="00E87BAF">
      <w:pPr>
        <w:rPr>
          <w:rFonts w:ascii="Arial" w:hAnsi="Arial" w:cs="Arial"/>
        </w:rPr>
      </w:pPr>
      <w:r w:rsidRPr="00E87BAF">
        <w:rPr>
          <w:rFonts w:ascii="Arial" w:hAnsi="Arial" w:cs="Arial"/>
          <w:b/>
          <w:bCs/>
        </w:rPr>
        <w:t>Housing White Paper</w:t>
      </w:r>
    </w:p>
    <w:p w14:paraId="54A6FD76" w14:textId="52EA2D64" w:rsidR="00E87BAF" w:rsidRDefault="00E87BAF" w:rsidP="004E49DA">
      <w:pPr>
        <w:pStyle w:val="ListParagraph"/>
        <w:numPr>
          <w:ilvl w:val="0"/>
          <w:numId w:val="32"/>
        </w:numPr>
        <w:rPr>
          <w:rFonts w:ascii="Arial" w:hAnsi="Arial" w:cs="Arial"/>
        </w:rPr>
      </w:pPr>
      <w:r>
        <w:rPr>
          <w:rFonts w:ascii="Arial" w:hAnsi="Arial" w:cs="Arial"/>
        </w:rPr>
        <w:t>T</w:t>
      </w:r>
      <w:r w:rsidRPr="00E87BAF">
        <w:rPr>
          <w:rFonts w:ascii="Arial" w:hAnsi="Arial" w:cs="Arial"/>
        </w:rPr>
        <w:t>he Government published its Housing White Paper which included a number of lobbying wins for the EEHT Board, including</w:t>
      </w:r>
      <w:r w:rsidR="007623C6">
        <w:rPr>
          <w:rFonts w:ascii="Arial" w:hAnsi="Arial" w:cs="Arial"/>
        </w:rPr>
        <w:t>:</w:t>
      </w:r>
      <w:r w:rsidRPr="00E87BAF">
        <w:rPr>
          <w:rFonts w:ascii="Arial" w:hAnsi="Arial" w:cs="Arial"/>
        </w:rPr>
        <w:t xml:space="preserve"> more resourcing for planning departments</w:t>
      </w:r>
      <w:r w:rsidR="004E49DA">
        <w:rPr>
          <w:rFonts w:ascii="Arial" w:hAnsi="Arial" w:cs="Arial"/>
        </w:rPr>
        <w:t>;</w:t>
      </w:r>
      <w:r w:rsidRPr="00E87BAF">
        <w:rPr>
          <w:rFonts w:ascii="Arial" w:hAnsi="Arial" w:cs="Arial"/>
        </w:rPr>
        <w:t xml:space="preserve"> </w:t>
      </w:r>
      <w:r w:rsidR="007623C6">
        <w:rPr>
          <w:rFonts w:ascii="Arial" w:hAnsi="Arial" w:cs="Arial"/>
        </w:rPr>
        <w:t>the</w:t>
      </w:r>
      <w:r w:rsidRPr="00E87BAF">
        <w:rPr>
          <w:rFonts w:ascii="Arial" w:hAnsi="Arial" w:cs="Arial"/>
        </w:rPr>
        <w:t xml:space="preserve"> dropping of the starter homes requirement</w:t>
      </w:r>
      <w:r w:rsidR="004E49DA">
        <w:rPr>
          <w:rFonts w:ascii="Arial" w:hAnsi="Arial" w:cs="Arial"/>
        </w:rPr>
        <w:t>;</w:t>
      </w:r>
      <w:r w:rsidRPr="00E87BAF">
        <w:rPr>
          <w:rFonts w:ascii="Arial" w:hAnsi="Arial" w:cs="Arial"/>
        </w:rPr>
        <w:t xml:space="preserve"> powers for councils to set up local development corporations and more. However, councils are more ambitious than the White Paper which lacked substantive measures </w:t>
      </w:r>
      <w:r w:rsidR="004E49DA">
        <w:rPr>
          <w:rFonts w:ascii="Arial" w:hAnsi="Arial" w:cs="Arial"/>
        </w:rPr>
        <w:t xml:space="preserve">to </w:t>
      </w:r>
      <w:r w:rsidRPr="00E87BAF">
        <w:rPr>
          <w:rFonts w:ascii="Arial" w:hAnsi="Arial" w:cs="Arial"/>
        </w:rPr>
        <w:t>suppor</w:t>
      </w:r>
      <w:r w:rsidR="00817941">
        <w:rPr>
          <w:rFonts w:ascii="Arial" w:hAnsi="Arial" w:cs="Arial"/>
        </w:rPr>
        <w:t>t</w:t>
      </w:r>
      <w:r w:rsidRPr="00E87BAF">
        <w:rPr>
          <w:rFonts w:ascii="Arial" w:hAnsi="Arial" w:cs="Arial"/>
        </w:rPr>
        <w:t xml:space="preserve"> councils to build affordable homes</w:t>
      </w:r>
      <w:r w:rsidR="004E49DA" w:rsidRPr="004E49DA">
        <w:t xml:space="preserve"> </w:t>
      </w:r>
      <w:r w:rsidR="004E49DA" w:rsidRPr="004E49DA">
        <w:rPr>
          <w:rFonts w:ascii="Arial" w:hAnsi="Arial" w:cs="Arial"/>
        </w:rPr>
        <w:t>rapidly</w:t>
      </w:r>
      <w:r w:rsidRPr="00E87BAF">
        <w:rPr>
          <w:rFonts w:ascii="Arial" w:hAnsi="Arial" w:cs="Arial"/>
        </w:rPr>
        <w:t xml:space="preserve">. The EEHT Board will work with the Government on influencing the detail of proposals, and campaign for new flexibilities and powers so that councils can meet local need. An LGA briefing is available </w:t>
      </w:r>
      <w:hyperlink r:id="rId12" w:history="1">
        <w:r w:rsidRPr="00E87BAF">
          <w:rPr>
            <w:rStyle w:val="Hyperlink"/>
            <w:rFonts w:ascii="Arial" w:hAnsi="Arial" w:cs="Arial"/>
          </w:rPr>
          <w:t>here</w:t>
        </w:r>
      </w:hyperlink>
      <w:r w:rsidRPr="00E87BAF">
        <w:rPr>
          <w:rFonts w:ascii="Arial" w:hAnsi="Arial" w:cs="Arial"/>
        </w:rPr>
        <w:t>.</w:t>
      </w:r>
    </w:p>
    <w:p w14:paraId="255687BD" w14:textId="2CCDDB4F" w:rsidR="00E87BAF" w:rsidRPr="00E87BAF" w:rsidRDefault="00E87BAF" w:rsidP="00E87BAF">
      <w:pPr>
        <w:rPr>
          <w:rFonts w:ascii="Arial" w:hAnsi="Arial" w:cs="Arial"/>
        </w:rPr>
      </w:pPr>
      <w:r w:rsidRPr="00E87BAF">
        <w:rPr>
          <w:rFonts w:ascii="Arial" w:hAnsi="Arial" w:cs="Arial"/>
          <w:b/>
          <w:bCs/>
        </w:rPr>
        <w:t>Homelessness Reduction Bill</w:t>
      </w:r>
    </w:p>
    <w:p w14:paraId="03A21868" w14:textId="6CAD3FCD" w:rsidR="00E87BAF" w:rsidRDefault="00E87BAF" w:rsidP="00E87BAF">
      <w:pPr>
        <w:pStyle w:val="ListParagraph"/>
        <w:numPr>
          <w:ilvl w:val="0"/>
          <w:numId w:val="32"/>
        </w:numPr>
        <w:rPr>
          <w:rFonts w:ascii="Arial" w:hAnsi="Arial" w:cs="Arial"/>
        </w:rPr>
      </w:pPr>
      <w:r>
        <w:rPr>
          <w:rFonts w:ascii="Arial" w:hAnsi="Arial" w:cs="Arial"/>
        </w:rPr>
        <w:t>T</w:t>
      </w:r>
      <w:r w:rsidRPr="00E87BAF">
        <w:rPr>
          <w:rFonts w:ascii="Arial" w:hAnsi="Arial" w:cs="Arial"/>
        </w:rPr>
        <w:t>he Homelessness Reduction Bill has finished its progress in the House of Commons and enters the Lords on 24 February. The Bill places further duties on local government. We have worked hard to remove some elements of the original Bill that would have been unworkable for many councils to deliver, and helped secure over £60 million to meet new duties and a commitment from the Government to review this within a couple of years. However, the EEHT Board will continue to push for adequate resources to deliver new duties, and for wider housing and welfare reforms that will be crucial to delivering ambitions to reduce homelessness.</w:t>
      </w:r>
    </w:p>
    <w:p w14:paraId="7C8F10D7" w14:textId="7471C8AB" w:rsidR="00E87BAF" w:rsidRPr="00E87BAF" w:rsidRDefault="00E87BAF" w:rsidP="00E87BAF">
      <w:pPr>
        <w:rPr>
          <w:rFonts w:ascii="Arial" w:hAnsi="Arial" w:cs="Arial"/>
        </w:rPr>
      </w:pPr>
      <w:r w:rsidRPr="00E87BAF">
        <w:rPr>
          <w:rFonts w:ascii="Arial" w:hAnsi="Arial" w:cs="Arial"/>
          <w:b/>
          <w:bCs/>
        </w:rPr>
        <w:t>Neighbourhood Planning bill</w:t>
      </w:r>
    </w:p>
    <w:p w14:paraId="1785F7C0" w14:textId="6A6B86AB" w:rsidR="00E87BAF" w:rsidRPr="00E87BAF" w:rsidRDefault="00E87BAF" w:rsidP="00E87BAF">
      <w:pPr>
        <w:pStyle w:val="ListParagraph"/>
        <w:numPr>
          <w:ilvl w:val="0"/>
          <w:numId w:val="32"/>
        </w:numPr>
        <w:rPr>
          <w:rFonts w:ascii="Arial" w:hAnsi="Arial" w:cs="Arial"/>
        </w:rPr>
      </w:pPr>
      <w:r w:rsidRPr="00E87BAF">
        <w:rPr>
          <w:rFonts w:ascii="Arial" w:hAnsi="Arial" w:cs="Arial"/>
        </w:rPr>
        <w:t>The EEHT Board has briefed MPs in advance of debates on the Neighbourhood Planning Bill as it has worked its way through the House of Commons and now through the House of Lords. We have stressed that the Bill could do more to help the Government achieve its ambitions on speeding up the delivery of new homes and to enable local authorities to deliver responsive planning services through adequate resourcing. The LGA has been quoted widely by MPs in their discussions, including our concerns about the proposed reforms to the use of planning conditions, local development plans and our research on office to residential permitted development rights</w:t>
      </w:r>
      <w:r w:rsidR="004E49DA">
        <w:rPr>
          <w:rFonts w:ascii="Arial" w:hAnsi="Arial" w:cs="Arial"/>
        </w:rPr>
        <w:t>.</w:t>
      </w:r>
    </w:p>
    <w:p w14:paraId="097E4D1B" w14:textId="37BD9E75" w:rsidR="00E87BAF" w:rsidRPr="00E87BAF" w:rsidRDefault="00E87BAF" w:rsidP="00E87BAF">
      <w:pPr>
        <w:rPr>
          <w:rFonts w:ascii="Arial" w:hAnsi="Arial" w:cs="Arial"/>
        </w:rPr>
      </w:pPr>
      <w:r w:rsidRPr="00E87BAF">
        <w:rPr>
          <w:rFonts w:ascii="Arial" w:hAnsi="Arial" w:cs="Arial"/>
          <w:b/>
          <w:bCs/>
        </w:rPr>
        <w:t>Housing Conference</w:t>
      </w:r>
    </w:p>
    <w:p w14:paraId="151C4076" w14:textId="14170AC6" w:rsidR="002A32CF" w:rsidRDefault="00E87BAF" w:rsidP="002A32CF">
      <w:pPr>
        <w:pStyle w:val="ListParagraph"/>
        <w:numPr>
          <w:ilvl w:val="0"/>
          <w:numId w:val="32"/>
        </w:numPr>
        <w:rPr>
          <w:rFonts w:ascii="Arial" w:hAnsi="Arial" w:cs="Arial"/>
        </w:rPr>
      </w:pPr>
      <w:r>
        <w:rPr>
          <w:rFonts w:ascii="Arial" w:hAnsi="Arial" w:cs="Arial"/>
        </w:rPr>
        <w:t>T</w:t>
      </w:r>
      <w:r w:rsidRPr="00E87BAF">
        <w:rPr>
          <w:rFonts w:ascii="Arial" w:hAnsi="Arial" w:cs="Arial"/>
        </w:rPr>
        <w:t>he EEHT Board has been preparing a free national housing conference to explore and set out councils</w:t>
      </w:r>
      <w:r w:rsidR="004E49DA">
        <w:rPr>
          <w:rFonts w:ascii="Arial" w:hAnsi="Arial" w:cs="Arial"/>
        </w:rPr>
        <w:t>’</w:t>
      </w:r>
      <w:r w:rsidRPr="00E87BAF">
        <w:rPr>
          <w:rFonts w:ascii="Arial" w:hAnsi="Arial" w:cs="Arial"/>
        </w:rPr>
        <w:t xml:space="preserve"> future role in meeting local housing need. To view the programme and register visit the LGA events page linked </w:t>
      </w:r>
      <w:hyperlink r:id="rId13" w:history="1">
        <w:r w:rsidRPr="00E87BAF">
          <w:rPr>
            <w:rStyle w:val="Hyperlink"/>
            <w:rFonts w:ascii="Arial" w:hAnsi="Arial" w:cs="Arial"/>
          </w:rPr>
          <w:t>here</w:t>
        </w:r>
      </w:hyperlink>
      <w:r w:rsidRPr="00E87BAF">
        <w:rPr>
          <w:rFonts w:ascii="Arial" w:hAnsi="Arial" w:cs="Arial"/>
        </w:rPr>
        <w:t xml:space="preserve">. </w:t>
      </w:r>
    </w:p>
    <w:p w14:paraId="4AC20764" w14:textId="70F569E0" w:rsidR="00422C1F" w:rsidRDefault="00422C1F" w:rsidP="00422C1F">
      <w:pPr>
        <w:pStyle w:val="ListParagraph"/>
        <w:rPr>
          <w:rFonts w:ascii="Arial" w:hAnsi="Arial" w:cs="Arial"/>
        </w:rPr>
      </w:pPr>
    </w:p>
    <w:p w14:paraId="21B67D66" w14:textId="77777777" w:rsidR="00422C1F" w:rsidRPr="002A32CF" w:rsidRDefault="00422C1F" w:rsidP="00422C1F">
      <w:pPr>
        <w:pStyle w:val="ListParagraph"/>
        <w:rPr>
          <w:rFonts w:ascii="Arial" w:hAnsi="Arial" w:cs="Arial"/>
        </w:rPr>
      </w:pPr>
    </w:p>
    <w:p w14:paraId="0BC22344" w14:textId="65ABDA26" w:rsidR="002A32CF" w:rsidRDefault="002A32CF" w:rsidP="002A32CF">
      <w:pPr>
        <w:spacing w:after="0" w:line="240" w:lineRule="auto"/>
        <w:rPr>
          <w:rFonts w:ascii="Arial" w:hAnsi="Arial" w:cs="Arial"/>
          <w:b/>
        </w:rPr>
      </w:pPr>
      <w:r w:rsidRPr="002A32CF">
        <w:rPr>
          <w:rFonts w:ascii="Arial" w:hAnsi="Arial" w:cs="Arial"/>
          <w:b/>
        </w:rPr>
        <w:lastRenderedPageBreak/>
        <w:t>Press Releases and Statements</w:t>
      </w:r>
    </w:p>
    <w:p w14:paraId="434C6AD9" w14:textId="77777777" w:rsidR="002A32CF" w:rsidRDefault="002A32CF" w:rsidP="002A32CF">
      <w:pPr>
        <w:spacing w:after="0" w:line="240" w:lineRule="auto"/>
        <w:rPr>
          <w:rFonts w:ascii="Arial" w:hAnsi="Arial" w:cs="Arial"/>
          <w:b/>
        </w:rPr>
      </w:pPr>
    </w:p>
    <w:p w14:paraId="35766B9B" w14:textId="7E61C29C" w:rsidR="002A32CF" w:rsidRPr="002A32CF" w:rsidRDefault="00346947" w:rsidP="002A32CF">
      <w:pPr>
        <w:pStyle w:val="ListParagraph"/>
        <w:numPr>
          <w:ilvl w:val="0"/>
          <w:numId w:val="32"/>
        </w:numPr>
        <w:spacing w:after="0" w:line="240" w:lineRule="auto"/>
        <w:rPr>
          <w:rFonts w:ascii="Arial" w:hAnsi="Arial" w:cs="Arial"/>
          <w:b/>
        </w:rPr>
      </w:pPr>
      <w:r>
        <w:rPr>
          <w:rFonts w:ascii="Arial" w:hAnsi="Arial" w:cs="Arial"/>
        </w:rPr>
        <w:t>I</w:t>
      </w:r>
      <w:r w:rsidR="002A32CF" w:rsidRPr="00963E22">
        <w:rPr>
          <w:rFonts w:ascii="Arial" w:hAnsi="Arial" w:cs="Arial"/>
        </w:rPr>
        <w:t xml:space="preserve"> have recen</w:t>
      </w:r>
      <w:r w:rsidR="002A32CF">
        <w:rPr>
          <w:rFonts w:ascii="Arial" w:hAnsi="Arial" w:cs="Arial"/>
        </w:rPr>
        <w:t xml:space="preserve">tly made public statements on </w:t>
      </w:r>
      <w:r w:rsidR="00882734">
        <w:rPr>
          <w:rFonts w:ascii="Arial" w:hAnsi="Arial" w:cs="Arial"/>
        </w:rPr>
        <w:t>a report by a new</w:t>
      </w:r>
      <w:r w:rsidR="002A32CF">
        <w:rPr>
          <w:rFonts w:ascii="Arial" w:hAnsi="Arial" w:cs="Arial"/>
        </w:rPr>
        <w:t xml:space="preserve"> </w:t>
      </w:r>
      <w:hyperlink r:id="rId14" w:history="1">
        <w:r w:rsidR="002A32CF" w:rsidRPr="002A32CF">
          <w:rPr>
            <w:rStyle w:val="Hyperlink"/>
            <w:rFonts w:ascii="Arial" w:hAnsi="Arial" w:cs="Arial"/>
            <w:lang w:val="en"/>
          </w:rPr>
          <w:t>Local Government Ombudsman on parking fines</w:t>
        </w:r>
      </w:hyperlink>
      <w:r w:rsidR="00882734">
        <w:rPr>
          <w:rFonts w:ascii="Arial" w:hAnsi="Arial" w:cs="Arial"/>
          <w:lang w:val="en"/>
        </w:rPr>
        <w:t xml:space="preserve">, as well as </w:t>
      </w:r>
      <w:hyperlink r:id="rId15" w:history="1">
        <w:r w:rsidR="00882734" w:rsidRPr="00882734">
          <w:rPr>
            <w:rStyle w:val="Hyperlink"/>
            <w:rFonts w:ascii="Arial" w:hAnsi="Arial" w:cs="Arial"/>
            <w:lang w:val="en"/>
          </w:rPr>
          <w:t>new government statistics which show an increase in the number of people sleeping rough</w:t>
        </w:r>
      </w:hyperlink>
      <w:r w:rsidR="00882734">
        <w:rPr>
          <w:rFonts w:ascii="Arial" w:hAnsi="Arial" w:cs="Arial"/>
          <w:lang w:val="en"/>
        </w:rPr>
        <w:t xml:space="preserve"> and the publication of the governments </w:t>
      </w:r>
      <w:hyperlink r:id="rId16" w:history="1">
        <w:r w:rsidR="00882734" w:rsidRPr="00882734">
          <w:rPr>
            <w:rStyle w:val="Hyperlink"/>
            <w:rFonts w:ascii="Arial" w:hAnsi="Arial" w:cs="Arial"/>
            <w:lang w:val="en"/>
          </w:rPr>
          <w:t>Housing White Paper</w:t>
        </w:r>
      </w:hyperlink>
      <w:r w:rsidR="00882734">
        <w:rPr>
          <w:rFonts w:ascii="Arial" w:hAnsi="Arial" w:cs="Arial"/>
          <w:lang w:val="en"/>
        </w:rPr>
        <w:t>.</w:t>
      </w:r>
      <w:bookmarkStart w:id="0" w:name="_GoBack"/>
      <w:bookmarkEnd w:id="0"/>
    </w:p>
    <w:p w14:paraId="438CF929" w14:textId="77777777" w:rsidR="003750BC" w:rsidRDefault="003750BC" w:rsidP="00172FA7">
      <w:pPr>
        <w:spacing w:after="0"/>
        <w:contextualSpacing/>
        <w:rPr>
          <w:rFonts w:ascii="Arial" w:eastAsia="Arial,Calibri" w:hAnsi="Arial" w:cs="Arial"/>
          <w:b/>
        </w:rPr>
      </w:pPr>
    </w:p>
    <w:p w14:paraId="33958F9C" w14:textId="77777777" w:rsidR="007D7459" w:rsidRDefault="007D7459" w:rsidP="00172FA7">
      <w:pPr>
        <w:spacing w:after="0" w:line="240" w:lineRule="auto"/>
        <w:rPr>
          <w:rFonts w:ascii="Arial" w:hAnsi="Arial" w:cs="Arial"/>
        </w:rPr>
      </w:pPr>
    </w:p>
    <w:p w14:paraId="09BD0837" w14:textId="77777777" w:rsidR="004321A6" w:rsidRPr="007D7459" w:rsidRDefault="004321A6" w:rsidP="00172FA7">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3B2754" w:rsidRPr="009E7460" w14:paraId="51B2F70C" w14:textId="77777777" w:rsidTr="00FD74DE">
        <w:tc>
          <w:tcPr>
            <w:tcW w:w="2760" w:type="dxa"/>
            <w:hideMark/>
          </w:tcPr>
          <w:p w14:paraId="4D21FC7D"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 xml:space="preserve">Contact officer:  </w:t>
            </w:r>
          </w:p>
        </w:tc>
        <w:tc>
          <w:tcPr>
            <w:tcW w:w="6266" w:type="dxa"/>
            <w:hideMark/>
          </w:tcPr>
          <w:p w14:paraId="2BE029DE"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Eamon Lally</w:t>
            </w:r>
          </w:p>
        </w:tc>
      </w:tr>
      <w:tr w:rsidR="003B2754" w:rsidRPr="009E7460" w14:paraId="61F0F361" w14:textId="77777777" w:rsidTr="00FD74DE">
        <w:tc>
          <w:tcPr>
            <w:tcW w:w="2760" w:type="dxa"/>
            <w:hideMark/>
          </w:tcPr>
          <w:p w14:paraId="59BC798D"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Position:</w:t>
            </w:r>
          </w:p>
        </w:tc>
        <w:tc>
          <w:tcPr>
            <w:tcW w:w="6266" w:type="dxa"/>
            <w:hideMark/>
          </w:tcPr>
          <w:p w14:paraId="2E8FE92B"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Principal Policy Adviser</w:t>
            </w:r>
          </w:p>
        </w:tc>
      </w:tr>
      <w:tr w:rsidR="003B2754" w:rsidRPr="009E7460" w14:paraId="35A055D0" w14:textId="77777777" w:rsidTr="00FD74DE">
        <w:tc>
          <w:tcPr>
            <w:tcW w:w="2760" w:type="dxa"/>
            <w:hideMark/>
          </w:tcPr>
          <w:p w14:paraId="73B5CB7E"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Phone number:</w:t>
            </w:r>
          </w:p>
        </w:tc>
        <w:tc>
          <w:tcPr>
            <w:tcW w:w="6266" w:type="dxa"/>
            <w:hideMark/>
          </w:tcPr>
          <w:p w14:paraId="204C9943"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0207 664 3132</w:t>
            </w:r>
          </w:p>
        </w:tc>
      </w:tr>
      <w:tr w:rsidR="003B2754" w:rsidRPr="009E7460" w14:paraId="3531A9CB" w14:textId="77777777" w:rsidTr="00FD74DE">
        <w:tc>
          <w:tcPr>
            <w:tcW w:w="2760" w:type="dxa"/>
            <w:hideMark/>
          </w:tcPr>
          <w:p w14:paraId="6308E86C"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E-mail:</w:t>
            </w:r>
          </w:p>
        </w:tc>
        <w:tc>
          <w:tcPr>
            <w:tcW w:w="6266" w:type="dxa"/>
            <w:hideMark/>
          </w:tcPr>
          <w:p w14:paraId="67C96B99" w14:textId="77777777" w:rsidR="003B2754" w:rsidRPr="009E7460" w:rsidRDefault="003B2754" w:rsidP="00172FA7">
            <w:pPr>
              <w:spacing w:after="0" w:line="240" w:lineRule="auto"/>
              <w:jc w:val="both"/>
              <w:rPr>
                <w:rFonts w:ascii="Arial" w:eastAsia="Times New Roman" w:hAnsi="Arial" w:cs="Arial"/>
                <w:lang w:eastAsia="en-GB"/>
              </w:rPr>
            </w:pPr>
            <w:r w:rsidRPr="009E7460">
              <w:rPr>
                <w:rFonts w:ascii="Arial" w:eastAsia="Times New Roman" w:hAnsi="Arial" w:cs="Arial"/>
                <w:lang w:eastAsia="en-GB"/>
              </w:rPr>
              <w:t xml:space="preserve">      </w:t>
            </w:r>
            <w:hyperlink r:id="rId17" w:history="1">
              <w:r w:rsidRPr="009E7460">
                <w:rPr>
                  <w:rStyle w:val="Hyperlink"/>
                  <w:rFonts w:ascii="Arial" w:hAnsi="Arial" w:cs="Arial"/>
                </w:rPr>
                <w:t>eamon.lally@local.gov.uk</w:t>
              </w:r>
            </w:hyperlink>
            <w:r w:rsidRPr="009E7460">
              <w:rPr>
                <w:rFonts w:ascii="Arial" w:hAnsi="Arial" w:cs="Arial"/>
              </w:rPr>
              <w:t xml:space="preserve"> </w:t>
            </w:r>
          </w:p>
        </w:tc>
      </w:tr>
    </w:tbl>
    <w:p w14:paraId="60D62979" w14:textId="77777777" w:rsidR="003B2754" w:rsidRPr="009E7460" w:rsidRDefault="003B2754" w:rsidP="00172FA7">
      <w:pPr>
        <w:spacing w:after="0" w:line="240" w:lineRule="auto"/>
        <w:contextualSpacing/>
        <w:rPr>
          <w:rFonts w:ascii="Arial" w:hAnsi="Arial" w:cs="Arial"/>
          <w:color w:val="000000"/>
        </w:rPr>
      </w:pPr>
    </w:p>
    <w:sectPr w:rsidR="003B2754" w:rsidRPr="009E7460" w:rsidSect="007D7459">
      <w:headerReference w:type="default" r:id="rId1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422C1F" w:rsidRDefault="00422C1F" w:rsidP="00FA7FEC">
      <w:pPr>
        <w:spacing w:after="0" w:line="240" w:lineRule="auto"/>
      </w:pPr>
      <w:r>
        <w:separator/>
      </w:r>
    </w:p>
  </w:endnote>
  <w:endnote w:type="continuationSeparator" w:id="0">
    <w:p w14:paraId="284A9BD4" w14:textId="77777777" w:rsidR="00422C1F" w:rsidRDefault="00422C1F"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422C1F" w:rsidRDefault="00422C1F" w:rsidP="00FA7FEC">
      <w:pPr>
        <w:spacing w:after="0" w:line="240" w:lineRule="auto"/>
      </w:pPr>
      <w:r>
        <w:separator/>
      </w:r>
    </w:p>
  </w:footnote>
  <w:footnote w:type="continuationSeparator" w:id="0">
    <w:p w14:paraId="12C1C2AB" w14:textId="77777777" w:rsidR="00422C1F" w:rsidRDefault="00422C1F"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422C1F" w:rsidRPr="00FA7FEC" w14:paraId="3EC8691D" w14:textId="77777777" w:rsidTr="002D3227">
      <w:trPr>
        <w:trHeight w:val="845"/>
      </w:trPr>
      <w:tc>
        <w:tcPr>
          <w:tcW w:w="5749" w:type="dxa"/>
          <w:vMerge w:val="restart"/>
        </w:tcPr>
        <w:p w14:paraId="3EC8691B" w14:textId="2441E3C9" w:rsidR="00422C1F" w:rsidRPr="00FA7FEC" w:rsidRDefault="00422C1F"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422C1F" w:rsidRDefault="00422C1F"/>
        <w:tbl>
          <w:tblPr>
            <w:tblW w:w="0" w:type="auto"/>
            <w:tblLook w:val="01E0" w:firstRow="1" w:lastRow="1" w:firstColumn="1" w:lastColumn="1" w:noHBand="0" w:noVBand="0"/>
          </w:tblPr>
          <w:tblGrid>
            <w:gridCol w:w="3203"/>
          </w:tblGrid>
          <w:tr w:rsidR="00422C1F" w14:paraId="08BC315D" w14:textId="77777777" w:rsidTr="002C1927">
            <w:tc>
              <w:tcPr>
                <w:tcW w:w="3277" w:type="dxa"/>
                <w:hideMark/>
              </w:tcPr>
              <w:p w14:paraId="582118AB" w14:textId="77777777" w:rsidR="00422C1F" w:rsidRDefault="00422C1F">
                <w:pPr>
                  <w:pStyle w:val="Header"/>
                  <w:rPr>
                    <w:b/>
                  </w:rPr>
                </w:pPr>
                <w:r>
                  <w:rPr>
                    <w:rFonts w:ascii="Arial" w:hAnsi="Arial" w:cs="Arial"/>
                    <w:b/>
                  </w:rPr>
                  <w:t xml:space="preserve">Councillors’ Forum </w:t>
                </w:r>
              </w:p>
            </w:tc>
          </w:tr>
          <w:tr w:rsidR="00422C1F" w14:paraId="44D115E6" w14:textId="77777777" w:rsidTr="002C1927">
            <w:trPr>
              <w:trHeight w:val="450"/>
            </w:trPr>
            <w:tc>
              <w:tcPr>
                <w:tcW w:w="3277" w:type="dxa"/>
                <w:hideMark/>
              </w:tcPr>
              <w:p w14:paraId="36BE7D13" w14:textId="73CD6440" w:rsidR="00422C1F" w:rsidRDefault="00422C1F" w:rsidP="0067263E">
                <w:pPr>
                  <w:pStyle w:val="Header"/>
                  <w:spacing w:before="60"/>
                </w:pPr>
                <w:r>
                  <w:rPr>
                    <w:rFonts w:ascii="Arial" w:hAnsi="Arial" w:cs="Arial"/>
                  </w:rPr>
                  <w:t>2 March 2017</w:t>
                </w:r>
              </w:p>
            </w:tc>
          </w:tr>
        </w:tbl>
        <w:p w14:paraId="3EC8691C" w14:textId="77777777" w:rsidR="00422C1F" w:rsidRPr="00FA7FEC" w:rsidRDefault="00422C1F"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422C1F" w:rsidRPr="00FA7FEC" w14:paraId="3EC86921" w14:textId="77777777" w:rsidTr="00E64F72">
      <w:trPr>
        <w:trHeight w:val="80"/>
      </w:trPr>
      <w:tc>
        <w:tcPr>
          <w:tcW w:w="5749" w:type="dxa"/>
          <w:vMerge/>
        </w:tcPr>
        <w:p w14:paraId="3EC8691E" w14:textId="77777777" w:rsidR="00422C1F" w:rsidRPr="00FA7FEC" w:rsidRDefault="00422C1F"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422C1F" w:rsidRPr="00FA7FEC" w:rsidRDefault="00422C1F"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422C1F" w:rsidRDefault="00422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E"/>
    <w:multiLevelType w:val="hybridMultilevel"/>
    <w:tmpl w:val="A880DD1A"/>
    <w:lvl w:ilvl="0" w:tplc="28A6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3A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41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D4F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83618"/>
    <w:multiLevelType w:val="hybridMultilevel"/>
    <w:tmpl w:val="37F0791E"/>
    <w:lvl w:ilvl="0" w:tplc="D1486BC0">
      <w:start w:val="1"/>
      <w:numFmt w:val="decimal"/>
      <w:lvlText w:val="%1."/>
      <w:lvlJc w:val="left"/>
      <w:pPr>
        <w:ind w:left="680" w:hanging="34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2212"/>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B2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F2D87"/>
    <w:multiLevelType w:val="hybridMultilevel"/>
    <w:tmpl w:val="1A28E72A"/>
    <w:lvl w:ilvl="0" w:tplc="D1B21B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A86310"/>
    <w:multiLevelType w:val="multilevel"/>
    <w:tmpl w:val="AE7A276A"/>
    <w:lvl w:ilvl="0">
      <w:start w:val="10"/>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E66083"/>
    <w:multiLevelType w:val="hybridMultilevel"/>
    <w:tmpl w:val="BC1E5BE6"/>
    <w:lvl w:ilvl="0" w:tplc="FEB277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06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0"/>
  </w:num>
  <w:num w:numId="4">
    <w:abstractNumId w:val="15"/>
  </w:num>
  <w:num w:numId="5">
    <w:abstractNumId w:val="13"/>
  </w:num>
  <w:num w:numId="6">
    <w:abstractNumId w:val="1"/>
  </w:num>
  <w:num w:numId="7">
    <w:abstractNumId w:val="22"/>
  </w:num>
  <w:num w:numId="8">
    <w:abstractNumId w:val="29"/>
  </w:num>
  <w:num w:numId="9">
    <w:abstractNumId w:val="26"/>
  </w:num>
  <w:num w:numId="10">
    <w:abstractNumId w:val="24"/>
  </w:num>
  <w:num w:numId="11">
    <w:abstractNumId w:val="12"/>
  </w:num>
  <w:num w:numId="12">
    <w:abstractNumId w:val="2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1"/>
  </w:num>
  <w:num w:numId="17">
    <w:abstractNumId w:val="19"/>
  </w:num>
  <w:num w:numId="18">
    <w:abstractNumId w:val="16"/>
  </w:num>
  <w:num w:numId="19">
    <w:abstractNumId w:val="6"/>
  </w:num>
  <w:num w:numId="20">
    <w:abstractNumId w:val="27"/>
  </w:num>
  <w:num w:numId="21">
    <w:abstractNumId w:val="7"/>
  </w:num>
  <w:num w:numId="22">
    <w:abstractNumId w:val="25"/>
  </w:num>
  <w:num w:numId="23">
    <w:abstractNumId w:val="0"/>
  </w:num>
  <w:num w:numId="24">
    <w:abstractNumId w:val="8"/>
  </w:num>
  <w:num w:numId="25">
    <w:abstractNumId w:val="4"/>
  </w:num>
  <w:num w:numId="26">
    <w:abstractNumId w:val="3"/>
  </w:num>
  <w:num w:numId="27">
    <w:abstractNumId w:val="5"/>
  </w:num>
  <w:num w:numId="28">
    <w:abstractNumId w:val="28"/>
  </w:num>
  <w:num w:numId="29">
    <w:abstractNumId w:val="14"/>
  </w:num>
  <w:num w:numId="30">
    <w:abstractNumId w:val="17"/>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443E"/>
    <w:rsid w:val="0003169F"/>
    <w:rsid w:val="00044557"/>
    <w:rsid w:val="000500AA"/>
    <w:rsid w:val="00060B84"/>
    <w:rsid w:val="00061D95"/>
    <w:rsid w:val="00073D0F"/>
    <w:rsid w:val="000A2665"/>
    <w:rsid w:val="000A7062"/>
    <w:rsid w:val="000C0A7E"/>
    <w:rsid w:val="000F27F8"/>
    <w:rsid w:val="000F55BE"/>
    <w:rsid w:val="00113ABE"/>
    <w:rsid w:val="00116CF6"/>
    <w:rsid w:val="00123FCA"/>
    <w:rsid w:val="00142393"/>
    <w:rsid w:val="0015485D"/>
    <w:rsid w:val="0015581A"/>
    <w:rsid w:val="00160A7E"/>
    <w:rsid w:val="0016139C"/>
    <w:rsid w:val="00172FA7"/>
    <w:rsid w:val="0018400B"/>
    <w:rsid w:val="00185339"/>
    <w:rsid w:val="0018633A"/>
    <w:rsid w:val="00192063"/>
    <w:rsid w:val="00195BD4"/>
    <w:rsid w:val="001A536B"/>
    <w:rsid w:val="001B5544"/>
    <w:rsid w:val="001C24B8"/>
    <w:rsid w:val="001C7CAB"/>
    <w:rsid w:val="001D67B4"/>
    <w:rsid w:val="001D6E9B"/>
    <w:rsid w:val="001D7B9D"/>
    <w:rsid w:val="001E73CC"/>
    <w:rsid w:val="00204ED9"/>
    <w:rsid w:val="0023558D"/>
    <w:rsid w:val="002642E5"/>
    <w:rsid w:val="0028349B"/>
    <w:rsid w:val="00291F92"/>
    <w:rsid w:val="002A1BD8"/>
    <w:rsid w:val="002A32CF"/>
    <w:rsid w:val="002A78CB"/>
    <w:rsid w:val="002B5D96"/>
    <w:rsid w:val="002C0A93"/>
    <w:rsid w:val="002C109E"/>
    <w:rsid w:val="002C1927"/>
    <w:rsid w:val="002D015E"/>
    <w:rsid w:val="002D3227"/>
    <w:rsid w:val="002D632A"/>
    <w:rsid w:val="002E1625"/>
    <w:rsid w:val="002E4AF6"/>
    <w:rsid w:val="002F28CE"/>
    <w:rsid w:val="00304F9F"/>
    <w:rsid w:val="00307E1A"/>
    <w:rsid w:val="00313BB9"/>
    <w:rsid w:val="00316D6C"/>
    <w:rsid w:val="0033705D"/>
    <w:rsid w:val="00346947"/>
    <w:rsid w:val="00352054"/>
    <w:rsid w:val="00352825"/>
    <w:rsid w:val="0035347C"/>
    <w:rsid w:val="00353809"/>
    <w:rsid w:val="0036515E"/>
    <w:rsid w:val="0037498B"/>
    <w:rsid w:val="003750BC"/>
    <w:rsid w:val="003972BD"/>
    <w:rsid w:val="003A7576"/>
    <w:rsid w:val="003B2754"/>
    <w:rsid w:val="003C186C"/>
    <w:rsid w:val="003D1A36"/>
    <w:rsid w:val="003E634B"/>
    <w:rsid w:val="003E7664"/>
    <w:rsid w:val="0040234C"/>
    <w:rsid w:val="00403728"/>
    <w:rsid w:val="004111D7"/>
    <w:rsid w:val="00412D80"/>
    <w:rsid w:val="00422C1F"/>
    <w:rsid w:val="004321A6"/>
    <w:rsid w:val="004610C4"/>
    <w:rsid w:val="00474CD4"/>
    <w:rsid w:val="004954FA"/>
    <w:rsid w:val="004A59D9"/>
    <w:rsid w:val="004E2F46"/>
    <w:rsid w:val="004E49DA"/>
    <w:rsid w:val="00523A8F"/>
    <w:rsid w:val="0054767C"/>
    <w:rsid w:val="00554089"/>
    <w:rsid w:val="005600B4"/>
    <w:rsid w:val="00580102"/>
    <w:rsid w:val="00583BB6"/>
    <w:rsid w:val="005D491A"/>
    <w:rsid w:val="005E6804"/>
    <w:rsid w:val="005E689A"/>
    <w:rsid w:val="005F384B"/>
    <w:rsid w:val="00604CDC"/>
    <w:rsid w:val="0061551D"/>
    <w:rsid w:val="00620141"/>
    <w:rsid w:val="00623594"/>
    <w:rsid w:val="00644C27"/>
    <w:rsid w:val="00646343"/>
    <w:rsid w:val="0065746A"/>
    <w:rsid w:val="00663927"/>
    <w:rsid w:val="00663D12"/>
    <w:rsid w:val="0067263E"/>
    <w:rsid w:val="00673A89"/>
    <w:rsid w:val="00676F6F"/>
    <w:rsid w:val="00681A78"/>
    <w:rsid w:val="006A7518"/>
    <w:rsid w:val="006B16F1"/>
    <w:rsid w:val="006D14DE"/>
    <w:rsid w:val="006D16E8"/>
    <w:rsid w:val="006D2BD3"/>
    <w:rsid w:val="006D312B"/>
    <w:rsid w:val="006E32CB"/>
    <w:rsid w:val="006E466A"/>
    <w:rsid w:val="00731494"/>
    <w:rsid w:val="00731941"/>
    <w:rsid w:val="0074347D"/>
    <w:rsid w:val="00746411"/>
    <w:rsid w:val="00750591"/>
    <w:rsid w:val="00753BAD"/>
    <w:rsid w:val="007623C6"/>
    <w:rsid w:val="00763B7F"/>
    <w:rsid w:val="007661C4"/>
    <w:rsid w:val="00775402"/>
    <w:rsid w:val="00795D93"/>
    <w:rsid w:val="007B6945"/>
    <w:rsid w:val="007C1C2E"/>
    <w:rsid w:val="007D3BDB"/>
    <w:rsid w:val="007D7152"/>
    <w:rsid w:val="007D7459"/>
    <w:rsid w:val="007E32CF"/>
    <w:rsid w:val="00804668"/>
    <w:rsid w:val="00817941"/>
    <w:rsid w:val="0083498C"/>
    <w:rsid w:val="008554B4"/>
    <w:rsid w:val="00882734"/>
    <w:rsid w:val="008872BE"/>
    <w:rsid w:val="008C357D"/>
    <w:rsid w:val="008E031A"/>
    <w:rsid w:val="008E3FBA"/>
    <w:rsid w:val="008F39B4"/>
    <w:rsid w:val="00907FEE"/>
    <w:rsid w:val="0091094C"/>
    <w:rsid w:val="00915641"/>
    <w:rsid w:val="009159F6"/>
    <w:rsid w:val="00930DF3"/>
    <w:rsid w:val="00972006"/>
    <w:rsid w:val="0099212F"/>
    <w:rsid w:val="009B20DA"/>
    <w:rsid w:val="009B5C29"/>
    <w:rsid w:val="009B73EB"/>
    <w:rsid w:val="009D1717"/>
    <w:rsid w:val="009D72CC"/>
    <w:rsid w:val="009E1153"/>
    <w:rsid w:val="009E7460"/>
    <w:rsid w:val="009F22D9"/>
    <w:rsid w:val="009F5E57"/>
    <w:rsid w:val="00A020C2"/>
    <w:rsid w:val="00A148EB"/>
    <w:rsid w:val="00A1576D"/>
    <w:rsid w:val="00A21F6D"/>
    <w:rsid w:val="00A365F2"/>
    <w:rsid w:val="00A368B9"/>
    <w:rsid w:val="00A57B0B"/>
    <w:rsid w:val="00A85CE1"/>
    <w:rsid w:val="00AB4EF5"/>
    <w:rsid w:val="00AD2114"/>
    <w:rsid w:val="00AE4508"/>
    <w:rsid w:val="00AE50C1"/>
    <w:rsid w:val="00B03B6C"/>
    <w:rsid w:val="00B04BF8"/>
    <w:rsid w:val="00B06123"/>
    <w:rsid w:val="00B276D0"/>
    <w:rsid w:val="00B348EE"/>
    <w:rsid w:val="00B94ECE"/>
    <w:rsid w:val="00BB58FE"/>
    <w:rsid w:val="00BC2DB5"/>
    <w:rsid w:val="00BC5A8B"/>
    <w:rsid w:val="00BD2A06"/>
    <w:rsid w:val="00C13E87"/>
    <w:rsid w:val="00C22DB8"/>
    <w:rsid w:val="00C2649E"/>
    <w:rsid w:val="00C320F1"/>
    <w:rsid w:val="00C3529D"/>
    <w:rsid w:val="00C359B3"/>
    <w:rsid w:val="00C4551C"/>
    <w:rsid w:val="00C55958"/>
    <w:rsid w:val="00CC03C4"/>
    <w:rsid w:val="00CE56A4"/>
    <w:rsid w:val="00CF12E4"/>
    <w:rsid w:val="00D11346"/>
    <w:rsid w:val="00D1768A"/>
    <w:rsid w:val="00D225FB"/>
    <w:rsid w:val="00D2290A"/>
    <w:rsid w:val="00D24356"/>
    <w:rsid w:val="00D25518"/>
    <w:rsid w:val="00D4129F"/>
    <w:rsid w:val="00D43215"/>
    <w:rsid w:val="00D45A57"/>
    <w:rsid w:val="00D80F45"/>
    <w:rsid w:val="00D92E43"/>
    <w:rsid w:val="00D95469"/>
    <w:rsid w:val="00DA4995"/>
    <w:rsid w:val="00DA6022"/>
    <w:rsid w:val="00DC5941"/>
    <w:rsid w:val="00DD4AA2"/>
    <w:rsid w:val="00DE2D88"/>
    <w:rsid w:val="00DF1DB2"/>
    <w:rsid w:val="00DF2BB0"/>
    <w:rsid w:val="00DF3FDC"/>
    <w:rsid w:val="00E10119"/>
    <w:rsid w:val="00E116A4"/>
    <w:rsid w:val="00E21CD3"/>
    <w:rsid w:val="00E30FA6"/>
    <w:rsid w:val="00E52E62"/>
    <w:rsid w:val="00E54A3B"/>
    <w:rsid w:val="00E64D23"/>
    <w:rsid w:val="00E64F72"/>
    <w:rsid w:val="00E7069B"/>
    <w:rsid w:val="00E72F50"/>
    <w:rsid w:val="00E8307D"/>
    <w:rsid w:val="00E87BAF"/>
    <w:rsid w:val="00E93795"/>
    <w:rsid w:val="00EA2933"/>
    <w:rsid w:val="00EB5DA5"/>
    <w:rsid w:val="00EC157F"/>
    <w:rsid w:val="00ED03E7"/>
    <w:rsid w:val="00ED6DE1"/>
    <w:rsid w:val="00ED7D00"/>
    <w:rsid w:val="00EE2BA3"/>
    <w:rsid w:val="00EE4924"/>
    <w:rsid w:val="00EF4214"/>
    <w:rsid w:val="00EF7FC1"/>
    <w:rsid w:val="00F13EC7"/>
    <w:rsid w:val="00F23571"/>
    <w:rsid w:val="00F25E0A"/>
    <w:rsid w:val="00F3338A"/>
    <w:rsid w:val="00F33ADC"/>
    <w:rsid w:val="00F51FAD"/>
    <w:rsid w:val="00F93F8D"/>
    <w:rsid w:val="00FA7FEC"/>
    <w:rsid w:val="00FB4955"/>
    <w:rsid w:val="00FB4DF5"/>
    <w:rsid w:val="00FB5E4D"/>
    <w:rsid w:val="00FC665E"/>
    <w:rsid w:val="00FD74DE"/>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 w:type="character" w:styleId="CommentReference">
    <w:name w:val="annotation reference"/>
    <w:basedOn w:val="DefaultParagraphFont"/>
    <w:uiPriority w:val="99"/>
    <w:semiHidden/>
    <w:unhideWhenUsed/>
    <w:rsid w:val="00F33ADC"/>
    <w:rPr>
      <w:sz w:val="16"/>
      <w:szCs w:val="16"/>
    </w:rPr>
  </w:style>
  <w:style w:type="paragraph" w:styleId="CommentText">
    <w:name w:val="annotation text"/>
    <w:basedOn w:val="Normal"/>
    <w:link w:val="CommentTextChar"/>
    <w:uiPriority w:val="99"/>
    <w:unhideWhenUsed/>
    <w:rsid w:val="00F33ADC"/>
    <w:pPr>
      <w:spacing w:line="240" w:lineRule="auto"/>
    </w:pPr>
    <w:rPr>
      <w:sz w:val="20"/>
      <w:szCs w:val="20"/>
    </w:rPr>
  </w:style>
  <w:style w:type="character" w:customStyle="1" w:styleId="CommentTextChar">
    <w:name w:val="Comment Text Char"/>
    <w:basedOn w:val="DefaultParagraphFont"/>
    <w:link w:val="CommentText"/>
    <w:uiPriority w:val="99"/>
    <w:rsid w:val="00F33ADC"/>
    <w:rPr>
      <w:sz w:val="20"/>
      <w:szCs w:val="20"/>
    </w:rPr>
  </w:style>
  <w:style w:type="paragraph" w:styleId="CommentSubject">
    <w:name w:val="annotation subject"/>
    <w:basedOn w:val="CommentText"/>
    <w:next w:val="CommentText"/>
    <w:link w:val="CommentSubjectChar"/>
    <w:uiPriority w:val="99"/>
    <w:semiHidden/>
    <w:unhideWhenUsed/>
    <w:rsid w:val="00F33ADC"/>
    <w:rPr>
      <w:b/>
      <w:bCs/>
    </w:rPr>
  </w:style>
  <w:style w:type="character" w:customStyle="1" w:styleId="CommentSubjectChar">
    <w:name w:val="Comment Subject Char"/>
    <w:basedOn w:val="CommentTextChar"/>
    <w:link w:val="CommentSubject"/>
    <w:uiPriority w:val="99"/>
    <w:semiHidden/>
    <w:rsid w:val="00F33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08790425">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248202304">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12355617">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59440645">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64432004">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4474299">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25495684">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11139726">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events.local.gov.uk/lga/frontend/reg/thome.csp?pageID=103674&amp;ef_sel_menu=2315&amp;eventID=340&amp;eventID=34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web/guest/briefings-and-responses/-/journal_content/56/10180/8239219/ARTICLE" TargetMode="External"/><Relationship Id="rId17" Type="http://schemas.openxmlformats.org/officeDocument/2006/relationships/hyperlink" Target="mailto:eamon.lally@local.gov.uk" TargetMode="External"/><Relationship Id="rId2" Type="http://schemas.openxmlformats.org/officeDocument/2006/relationships/customXml" Target="../customXml/item2.xml"/><Relationship Id="rId16" Type="http://schemas.openxmlformats.org/officeDocument/2006/relationships/hyperlink" Target="http://www.local.gov.uk/web/guest/media-releases/-/journal_content/56/10180/8222583/N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f.org.uk/sites/default/files/resources/BPF-LGA-unlocking-growth-through-partnership.PDF" TargetMode="External"/><Relationship Id="rId5" Type="http://schemas.openxmlformats.org/officeDocument/2006/relationships/numbering" Target="numbering.xml"/><Relationship Id="rId15" Type="http://schemas.openxmlformats.org/officeDocument/2006/relationships/hyperlink" Target="http://www.local.gov.uk/web/guest/media-releases/-/journal_content/56/10180/8195982/NE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media-releases/-/journal_content/56/10180/8216436/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3EF2E-F42C-4E61-AB2C-CD4BDE0D3D3D}"/>
</file>

<file path=customXml/itemProps2.xml><?xml version="1.0" encoding="utf-8"?>
<ds:datastoreItem xmlns:ds="http://schemas.openxmlformats.org/officeDocument/2006/customXml" ds:itemID="{D54DD430-A208-42A4-8B25-D22FE9205C89}"/>
</file>

<file path=customXml/itemProps3.xml><?xml version="1.0" encoding="utf-8"?>
<ds:datastoreItem xmlns:ds="http://schemas.openxmlformats.org/officeDocument/2006/customXml" ds:itemID="{5F4D5395-DD0E-473F-BBC9-0D79255BA4B0}"/>
</file>

<file path=customXml/itemProps4.xml><?xml version="1.0" encoding="utf-8"?>
<ds:datastoreItem xmlns:ds="http://schemas.openxmlformats.org/officeDocument/2006/customXml" ds:itemID="{22B41CFE-024A-4AF7-B050-6E07EED9F79F}"/>
</file>

<file path=docProps/app.xml><?xml version="1.0" encoding="utf-8"?>
<Properties xmlns="http://schemas.openxmlformats.org/officeDocument/2006/extended-properties" xmlns:vt="http://schemas.openxmlformats.org/officeDocument/2006/docPropsVTypes">
  <Template>A4092BA9</Template>
  <TotalTime>24</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Alexander Saul</cp:lastModifiedBy>
  <cp:revision>6</cp:revision>
  <cp:lastPrinted>2014-10-13T16:12:00Z</cp:lastPrinted>
  <dcterms:created xsi:type="dcterms:W3CDTF">2017-02-17T10:25:00Z</dcterms:created>
  <dcterms:modified xsi:type="dcterms:W3CDTF">2017-02-17T13:01:00Z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0x01010089B181CCFD00634D91BD034B392E363C</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